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Ahmed Mousa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2 publication(s)</w:t>
      </w:r>
    </w:p>
    <w:p>
      <w:pPr>
        <w:ind w:left="720" w:hanging="720"/>
        <w:spacing w:after="160" w:line="276" w:lineRule="auto"/>
      </w:pPr>
      <w:r>
        <w:t xml:space="preserve">Awad, Ashraf, Ahmad Mousa, Elsaid Abdelaziz, and Ahmed Attia. 2025. “Assessing the Future of HRM: Exploring the Transformative Role of Artificial Intelligence in Realizing the UAE's Vision 2031 for AI-Driven Human Resources Practices.” </w:t>
      </w:r>
      <w:r>
        <w:rPr>
          <w:i/>
        </w:rPr>
        <w:t xml:space="preserve">Qubahan Academic Journal</w:t>
      </w:r>
      <w:r>
        <w:t xml:space="preserve"> 5 (4): 84–102. https://doi.org/10.48161/qaj.v5n4a1968.</w:t>
      </w:r>
    </w:p>
    <w:p>
      <w:pPr>
        <w:ind w:left="720" w:hanging="720"/>
        <w:spacing w:after="160" w:line="276" w:lineRule="auto"/>
      </w:pPr>
      <w:r>
        <w:t xml:space="preserve">Mousa, Ahmed Ebrahim, Khaled Mohammad Alomari, Ashraf Mohammed Awad, and Elsaid Abdelaziz. 2025. “The Mediating Role of Talent Management in the Relationship between E-Human Resource Management (E-HRM) Practices and Organizational Sustainability.” </w:t>
      </w:r>
      <w:r>
        <w:rPr>
          <w:i/>
        </w:rPr>
        <w:t xml:space="preserve">Qubahan Academic Journal</w:t>
      </w:r>
      <w:r>
        <w:t xml:space="preserve"> 5 (4): 377–398. https://doi.org/10.48161/qaj.v5n4a1935.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