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Ahmed Mousa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 publication(s)</w:t>
      </w:r>
    </w:p>
    <w:p>
      <w:pPr>
        <w:ind w:left="720" w:hanging="720"/>
        <w:spacing w:after="160" w:line="276" w:lineRule="auto"/>
      </w:pPr>
      <w:r>
        <w:t xml:space="preserve">Awad, A., Mousa, A., Abdelaziz, E., &amp; Attia, A. (2025). Assessing the Future of HRM: Exploring the Transformative Role of Artificial Intelligence in Realizing the UAE's Vision 2031 for AI-Driven Human Resources Practices.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(4), 84–102. https://doi.org/10.48161/qaj.v5n4a1968</w:t>
      </w:r>
    </w:p>
    <w:p>
      <w:pPr>
        <w:ind w:left="720" w:hanging="720"/>
        <w:spacing w:after="160" w:line="276" w:lineRule="auto"/>
      </w:pPr>
      <w:r>
        <w:t xml:space="preserve">Mousa, A. E., Alomari, K. M., Awad, A. M., &amp; Abdelaziz, E. (2025). The Mediating Role of Talent Management in the Relationship between E-Human Resource Management (E-HRM) Practices and Organizational Sustainability.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(4), 377–398. https://doi.org/10.48161/qaj.v5n4a1935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