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60"/>
      </w:pPr>
      <w:r>
        <w:rPr>
          <w:b/>
          <w:sz w:val="32"/>
        </w:rPr>
        <w:t xml:space="preserve">Mousa Hamid Mohammed Abu S’ailek — Publications</w:t>
      </w:r>
    </w:p>
    <w:p>
      <w:pPr>
        <w:spacing w:after="240"/>
      </w:pPr>
      <w:r>
        <w:rPr>
          <w:color w:val="555555"/>
          <w:sz w:val="22"/>
        </w:rPr>
        <w:t xml:space="preserve">Reference list (APA style) · 1 publication(s)</w:t>
      </w:r>
    </w:p>
    <w:p>
      <w:pPr>
        <w:ind w:left="720" w:hanging="720"/>
        <w:spacing w:after="160" w:line="276" w:lineRule="auto"/>
      </w:pPr>
      <w:r>
        <w:t xml:space="preserve">Abunawas, M. K., Albadareen, A. F., Alzawahreh, Y. K. D., Alzyod, M. A. F., &amp; Suailik, M. H. M. A. (2025). The effectiveness of cooperative learning in enhancing student participation among grade 10 English students in Jordanian public schools. </w:t>
      </w:r>
      <w:r>
        <w:rPr>
          <w:i/>
        </w:rPr>
        <w:t xml:space="preserve">Periodicals of Engineering and Natural Sciences</w:t>
      </w:r>
      <w:r>
        <w:t xml:space="preserve">, </w:t>
      </w:r>
      <w:r>
        <w:rPr>
          <w:i/>
        </w:rPr>
        <w:t xml:space="preserve">13</w:t>
      </w:r>
      <w:r>
        <w:t xml:space="preserve">(4), 825–834. https://doi.org/10.21533/pen.v13.i4.1285</w:t>
      </w:r>
    </w:p>
    <w:sectPr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cs="Times New Roman"/>
        <w:sz w:val="24"/>
        <w:szCs w:val="24"/>
      </w:rPr>
    </w:rPrDefault>
  </w:docDefaults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/Relationships>
</file>