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Ahmad Fares Al-Badareen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2 publication(s)</w:t>
      </w:r>
    </w:p>
    <w:p>
      <w:pPr>
        <w:ind w:left="720" w:hanging="720"/>
        <w:spacing w:after="160" w:line="276" w:lineRule="auto"/>
      </w:pPr>
      <w:r>
        <w:t xml:space="preserve">Abunawas, Mousa Khaleel, et al. “The effectiveness of cooperative learning in enhancing student participation among grade 10 English students in Jordanian public schools.” </w:t>
      </w:r>
      <w:r>
        <w:rPr>
          <w:i/>
        </w:rPr>
        <w:t xml:space="preserve">Periodicals of Engineering and Natural Sciences</w:t>
      </w:r>
      <w:r>
        <w:t xml:space="preserve">, vol. 13, no. 4, 2025, pp. 825–834. https://doi.org/10.21533/pen.v13.i4.1285.</w:t>
      </w:r>
    </w:p>
    <w:p>
      <w:pPr>
        <w:ind w:left="720" w:hanging="720"/>
        <w:spacing w:after="160" w:line="276" w:lineRule="auto"/>
      </w:pPr>
      <w:r>
        <w:t xml:space="preserve">Abunawas, Mousa Khaleel, et al. “The impact of curriculum on student’s learning research.” </w:t>
      </w:r>
      <w:r>
        <w:rPr>
          <w:i/>
        </w:rPr>
        <w:t xml:space="preserve">Periodicals of Engineering and Natural Sciences</w:t>
      </w:r>
      <w:r>
        <w:t xml:space="preserve">, vol. 13, no. 4, 2025, pp. 792–804. https://doi.org/10.21533/pen.v13.i4.1291.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