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Al-Saeed Saad Abdul Aziz Bishtah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 publication(s)</w:t>
      </w:r>
    </w:p>
    <w:p>
      <w:pPr>
        <w:ind w:left="720" w:hanging="720"/>
        <w:spacing w:after="160" w:line="276" w:lineRule="auto"/>
      </w:pPr>
      <w:r>
        <w:t xml:space="preserve">Awad, Ashraf, et al.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, vol. 5, no. 4, 2025, pp. 84–102. https://doi.org/10.48161/qaj.v5n4a1968.</w:t>
      </w:r>
    </w:p>
    <w:p>
      <w:pPr>
        <w:ind w:left="720" w:hanging="720"/>
        <w:spacing w:after="160" w:line="276" w:lineRule="auto"/>
      </w:pPr>
      <w:r>
        <w:t xml:space="preserve">Mousa, Ahmed Ebrahim, et al. “The Mediating Role of Talent Management in the Relationship between E-Human Resource Management (E-HRM) Practices and Organizational Sustainability.” </w:t>
      </w:r>
      <w:r>
        <w:rPr>
          <w:i/>
        </w:rPr>
        <w:t xml:space="preserve">Qubahan Academic Journal</w:t>
      </w:r>
      <w:r>
        <w:t xml:space="preserve">, vol. 5, no. 4, 2025, pp. 377–398. https://doi.org/10.48161/qaj.v5n4a1935.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