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Al-Saeed Saad Abdul Aziz Bishtah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2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A. Awad, A. Mousa, E. Abdelaziz, and A. Attia, “Assessing the Future of HRM: Exploring the Transformative Role of Artificial Intelligence in Realizing the UAE's Vision 2031 for AI-Driven Human Resources Practices,” </w:t>
      </w:r>
      <w:r>
        <w:rPr>
          <w:i/>
        </w:rPr>
        <w:t xml:space="preserve">Qubahan Academic Journal</w:t>
      </w:r>
      <w:r>
        <w:t xml:space="preserve">, vol. 5, no. 4, pp. 84–102, 2025. doi: 10.48161/qaj.v5n4a1968.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A. E. Mousa, K. M. Alomari, A. M. Awad, and E. Abdelaziz, “The Mediating Role of Talent Management in the Relationship between E-Human Resource Management (E-HRM) Practices and Organizational Sustainability,” </w:t>
      </w:r>
      <w:r>
        <w:rPr>
          <w:i/>
        </w:rPr>
        <w:t xml:space="preserve">Qubahan Academic Journal</w:t>
      </w:r>
      <w:r>
        <w:t xml:space="preserve">, vol. 5, no. 4, pp. 377–398, 2025. doi: 10.48161/qaj.v5n4a1935.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