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60"/>
      </w:pPr>
      <w:r>
        <w:rPr>
          <w:b/>
          <w:sz w:val="32"/>
        </w:rPr>
        <w:t xml:space="preserve">Mousa Khalil Mohammed Abu Nawas — Publications</w:t>
      </w:r>
    </w:p>
    <w:p>
      <w:pPr>
        <w:spacing w:after="240"/>
      </w:pPr>
      <w:r>
        <w:rPr>
          <w:color w:val="555555"/>
          <w:sz w:val="22"/>
        </w:rPr>
        <w:t xml:space="preserve">Reference list (Chicago style) · 5 publication(s)</w:t>
      </w:r>
    </w:p>
    <w:p>
      <w:pPr>
        <w:ind w:left="720" w:hanging="720"/>
        <w:spacing w:after="160" w:line="276" w:lineRule="auto"/>
      </w:pPr>
      <w:r>
        <w:t xml:space="preserve">Abunawas, Mousa Khaleel, Ahmad Fares Albadareen, Yazan Khaled Daifallah Alzawahreh, Mansour Ali Falah Alzyod, and Mousa Hamed Mohammed Abu Suailik. 2025. “The effectiveness of cooperative learning in enhancing student participation among grade 10 English students in Jordanian public schools.” </w:t>
      </w:r>
      <w:r>
        <w:rPr>
          <w:i/>
        </w:rPr>
        <w:t xml:space="preserve">Periodicals of Engineering and Natural Sciences</w:t>
      </w:r>
      <w:r>
        <w:t xml:space="preserve"> 13 (4): 825–834. https://doi.org/10.21533/pen.v13.i4.1285.</w:t>
      </w:r>
    </w:p>
    <w:p>
      <w:pPr>
        <w:ind w:left="720" w:hanging="720"/>
        <w:spacing w:after="160" w:line="276" w:lineRule="auto"/>
      </w:pPr>
      <w:r>
        <w:t xml:space="preserve">Abunawas, Mousa Khaleel, Ahmad Fares Albadareen, Yazan Khaled Daifallah Alzawahreh, Mansour Ali Falah Alzyod, and Mousa Hamed Mohammed Abu Suailik. 2025. “The impact of curriculum on student’s learning research.” </w:t>
      </w:r>
      <w:r>
        <w:rPr>
          <w:i/>
        </w:rPr>
        <w:t xml:space="preserve">Periodicals of Engineering and Natural Sciences</w:t>
      </w:r>
      <w:r>
        <w:t xml:space="preserve"> 13 (4): 792–804. https://doi.org/10.21533/pen.v13.i4.1291.</w:t>
      </w:r>
    </w:p>
    <w:p>
      <w:pPr>
        <w:ind w:left="720" w:hanging="720"/>
        <w:spacing w:after="160" w:line="276" w:lineRule="auto"/>
      </w:pPr>
      <w:r>
        <w:t xml:space="preserve">Al-Zoubi, Samer Mahmoud, and Mousa Khalil Abunawas. 2025. “Contemporary Trends in Phonological Awareness Studies: A Review of Selected Articles.” </w:t>
      </w:r>
      <w:r>
        <w:rPr>
          <w:i/>
        </w:rPr>
        <w:t xml:space="preserve">Forum for Linguistic Studies</w:t>
      </w:r>
      <w:r>
        <w:t xml:space="preserve"> 7 (4): 703–715. https://doi.org/10.30564/fls.v7i4.9058.</w:t>
      </w:r>
    </w:p>
    <w:p>
      <w:pPr>
        <w:ind w:left="720" w:hanging="720"/>
        <w:spacing w:after="160" w:line="276" w:lineRule="auto"/>
      </w:pPr>
      <w:r>
        <w:t xml:space="preserve">Al-Zoubi, Samer Mahmoud, and Mousa Khalil Abunawas. 2025. “The Relationship between Language Policy and Language Planning: A Sociolinguistic Perspective.” </w:t>
      </w:r>
      <w:r>
        <w:rPr>
          <w:i/>
        </w:rPr>
        <w:t xml:space="preserve">Forum for Linguistic Studies</w:t>
      </w:r>
      <w:r>
        <w:t xml:space="preserve"> 7 (1): 329–339. https://doi.org/10.30564/fls.v7i1.7769.</w:t>
      </w:r>
    </w:p>
    <w:p>
      <w:pPr>
        <w:ind w:left="720" w:hanging="720"/>
        <w:spacing w:after="160" w:line="276" w:lineRule="auto"/>
      </w:pPr>
      <w:r>
        <w:t xml:space="preserve">Alomari, Khaled Mohammad, Safwan Maghaydah, Ahmed Mahde, Ayman Abdalla Mohammed, Hossam Korany, and Mousa Khalil Abunawas. 2025. “Examining Metaverse Adoption Impacts Higher Education Students Through the Diffusion of Innovation Framework.” </w:t>
      </w:r>
      <w:r>
        <w:rPr>
          <w:i/>
        </w:rPr>
        <w:t xml:space="preserve">Proceedings - International Conference on Advanced Systems and Emergent Technologies, IC_ASET 2025</w:t>
      </w:r>
      <w:r>
        <w:t xml:space="preserve">. https://doi.org/10.1109/IC_ASET65966.2025.11232258.</w:t>
      </w:r>
    </w:p>
    <w:sectPr/>
  </w:body>
</w:document>
</file>

<file path=word/styles.xml><?xml version="1.0" encoding="utf-8"?>
<w:styles xmlns:w="http://schemas.openxmlformats.org/wordprocessingml/2006/main">
  <w:docDefaults>
    <w:rPrDefault>
      <w:rPr>
        <w:rFonts w:ascii="Times New Roman" w:hAnsi="Times New Roman" w:cs="Times New Roman"/>
        <w:sz w:val="24"/>
        <w:szCs w:val="24"/>
      </w:rPr>
    </w:r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