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Nuseiba Azzam Ibrahim Yousif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3 publication(s)</w:t>
      </w:r>
    </w:p>
    <w:p>
      <w:pPr>
        <w:ind w:left="720" w:hanging="720"/>
        <w:spacing w:after="160" w:line="276" w:lineRule="auto"/>
      </w:pPr>
      <w:r>
        <w:t xml:space="preserve">Abubakr, Ayman Abdalla Mohammed, et al. “Challenges of Disclosing Environmental Accounting Performance and Its Impact on Quality Supply Chains to Promote Sustainable Development in Companies—Experiences of Some Companies in the GCC—2024.” </w:t>
      </w:r>
      <w:r>
        <w:rPr>
          <w:i/>
        </w:rPr>
        <w:t xml:space="preserve">Sustainability (Switzerland)</w:t>
      </w:r>
      <w:r>
        <w:t xml:space="preserve">, vol. 16, no. 24, 2024. https://doi.org/10.3390/su162411243.</w:t>
      </w:r>
    </w:p>
    <w:p>
      <w:pPr>
        <w:ind w:left="720" w:hanging="720"/>
        <w:spacing w:after="160" w:line="276" w:lineRule="auto"/>
      </w:pPr>
      <w:r>
        <w:t xml:space="preserve">Abubakr, Ayman Abdalla Mohammed, et al. “The role of the internal auditor, stakeholders, and external auditor in discovering and reducing creative accounting practices in UAE companies.” </w:t>
      </w:r>
      <w:r>
        <w:rPr>
          <w:i/>
        </w:rPr>
        <w:t xml:space="preserve">Security Journal</w:t>
      </w:r>
      <w:r>
        <w:t xml:space="preserve">, vol. 38, no. 1, 2025. https://doi.org/10.1057/s41284-025-00478-0.</w:t>
      </w:r>
    </w:p>
    <w:p>
      <w:pPr>
        <w:ind w:left="720" w:hanging="720"/>
        <w:spacing w:after="160" w:line="276" w:lineRule="auto"/>
      </w:pPr>
      <w:r>
        <w:t xml:space="preserve">Ali, Mutaz, et al. “A Data-Driven Geometric Control Framework for Intelligent Decision-Making in Autonomous Mobile Robots.” </w:t>
      </w:r>
      <w:r>
        <w:rPr>
          <w:i/>
        </w:rPr>
        <w:t xml:space="preserve">2026 IEEE International Conference on Emerging Computing and Intelligent Technologies Icoecit 2026</w:t>
      </w:r>
      <w:r>
        <w:t xml:space="preserve">, 2026, pp. 1–6. https://doi.org/10.1109/ICoECIT68303.2026.11497523.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