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Ziad Mohammed Rustam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8 publication(s)</w:t>
      </w:r>
    </w:p>
    <w:p>
      <w:pPr>
        <w:ind w:left="720" w:hanging="720"/>
        <w:spacing w:after="160" w:line="276" w:lineRule="auto"/>
      </w:pPr>
      <w:r>
        <w:t xml:space="preserve">[1] </w:t>
      </w:r>
      <w:r>
        <w:t xml:space="preserve">Z. M. Roustom, K. Hamwi, A. Armoush, N. Nano, and S. M. Shawqal, “The Impact of Using Business Network Techniques on Improving External Audit Efficiency: An Applied Study in Syria and the United Arab Emirates,” </w:t>
      </w:r>
      <w:r>
        <w:rPr>
          <w:i/>
        </w:rPr>
        <w:t xml:space="preserve">Lecture Notes in Networks and Systems</w:t>
      </w:r>
      <w:r>
        <w:t xml:space="preserve">, vol. 1576 LNNS, pp. 385–396, 2026. doi: 10.1007/978-3-032-00549-6_35.</w:t>
      </w:r>
    </w:p>
    <w:p>
      <w:pPr>
        <w:ind w:left="720" w:hanging="720"/>
        <w:spacing w:after="160" w:line="276" w:lineRule="auto"/>
      </w:pPr>
      <w:r>
        <w:t xml:space="preserve">[2] </w:t>
      </w:r>
      <w:r>
        <w:t xml:space="preserve">Z. M. Roustom, S. Alhakeem, and S. M. Shawqal, “The Suitability of Accounting for Cryptocurrencies Under International Financial Reporting Standards and Its Impact on the Quality of Accounting Information Within Digital Businesses Models: A Field Study of Academic and Professionals in the Middle East,” </w:t>
      </w:r>
      <w:r>
        <w:rPr>
          <w:i/>
        </w:rPr>
        <w:t xml:space="preserve">Studies in Systems, Decision and Control</w:t>
      </w:r>
      <w:r>
        <w:t xml:space="preserve">, vol. 649, pp. 625–639, 2026. doi: 10.1007/978-3-032-13119-5_52.</w:t>
      </w:r>
    </w:p>
    <w:p>
      <w:pPr>
        <w:ind w:left="720" w:hanging="720"/>
        <w:spacing w:after="160" w:line="276" w:lineRule="auto"/>
      </w:pPr>
      <w:r>
        <w:t xml:space="preserve">[3] </w:t>
      </w:r>
      <w:r>
        <w:t xml:space="preserve">Z. M. Roustom, and S. M. Shawqal, “Data Mining Approach for External Auditors in Assessing Companies Going Concern,” </w:t>
      </w:r>
      <w:r>
        <w:rPr>
          <w:i/>
        </w:rPr>
        <w:t xml:space="preserve">Studies in Big Data</w:t>
      </w:r>
      <w:r>
        <w:t xml:space="preserve">, vol. 169, pp. 45–56, 2025. doi: 10.1007/978-3-031-80656-8_5.</w:t>
      </w:r>
    </w:p>
    <w:p>
      <w:pPr>
        <w:ind w:left="720" w:hanging="720"/>
        <w:spacing w:after="160" w:line="276" w:lineRule="auto"/>
      </w:pPr>
      <w:r>
        <w:t xml:space="preserve">[4] </w:t>
      </w:r>
      <w:r>
        <w:t xml:space="preserve">Z. M. Roustom, K. Hamwi, A. Armoush, and A. A. M. Abubakr, “IT Governance Frameworks and their Impact on the Efficiency of External Audits: Evidence from Companies When Audit Client Adoption,” </w:t>
      </w:r>
      <w:r>
        <w:rPr>
          <w:i/>
        </w:rPr>
        <w:t xml:space="preserve">Qubahan Academic Journal</w:t>
      </w:r>
      <w:r>
        <w:t xml:space="preserve">, vol. 5, no. 1, pp. 640–661, 2025. doi: 10.48161/qaj.v5n1a1517.</w:t>
      </w:r>
    </w:p>
    <w:p>
      <w:pPr>
        <w:ind w:left="720" w:hanging="720"/>
        <w:spacing w:after="160" w:line="276" w:lineRule="auto"/>
      </w:pPr>
      <w:r>
        <w:t xml:space="preserve">[5] </w:t>
      </w:r>
      <w:r>
        <w:t xml:space="preserve">Z. M. Roustom, K. I. Hamwi, A. M. S. Armoush, and S. M. Shawqal, “The Impact of Adopting the Sustainability Balanced Scorecard (SBSC) by Audit Clients on the External Auditor’s Assessment of Internal Control Risk: An Empirical Study,” </w:t>
      </w:r>
      <w:r>
        <w:rPr>
          <w:i/>
        </w:rPr>
        <w:t xml:space="preserve">Qubahan Academic Journal</w:t>
      </w:r>
      <w:r>
        <w:t xml:space="preserve">, vol. 5, no. 3, pp. 59–77, 2025. doi: 10.48161/qaj.v5n3a1788.</w:t>
      </w:r>
    </w:p>
    <w:p>
      <w:pPr>
        <w:ind w:left="720" w:hanging="720"/>
        <w:spacing w:after="160" w:line="276" w:lineRule="auto"/>
      </w:pPr>
      <w:r>
        <w:t xml:space="preserve">[6] </w:t>
      </w:r>
      <w:r>
        <w:t xml:space="preserve">Z. M. Roustom, K. Hamwi, A. Armoush, and S. Shawqal, “The Role of the Audit Client’s Use of Blockchain Technology in Increasing the External Auditors Assessment of the Risk of Material Misstatements: A Field Study,” </w:t>
      </w:r>
      <w:r>
        <w:rPr>
          <w:i/>
        </w:rPr>
        <w:t xml:space="preserve">Lecture Notes in Networks and Systems</w:t>
      </w:r>
      <w:r>
        <w:t xml:space="preserve">, vol. 1575 LNNS, pp. 217–231, 2025. doi: 10.1007/978-3-032-00450-5_23.</w:t>
      </w:r>
    </w:p>
    <w:p>
      <w:pPr>
        <w:ind w:left="720" w:hanging="720"/>
        <w:spacing w:after="160" w:line="276" w:lineRule="auto"/>
      </w:pPr>
      <w:r>
        <w:t xml:space="preserve">[7] </w:t>
      </w:r>
      <w:r>
        <w:t xml:space="preserve">A. A. M. Abubakr, M. S. G. Sahal, A. A. A. Mohammed, N. A. I. Yousif, F. M. A. Mohammed, and Z. M. Roustom, “Challenges of Disclosing Environmental Accounting Performance and Its Impact on Quality Supply Chains to Promote Sustainable Development in Companies—Experiences of Some Companies in the GCC—2024,” </w:t>
      </w:r>
      <w:r>
        <w:rPr>
          <w:i/>
        </w:rPr>
        <w:t xml:space="preserve">Sustainability (Switzerland)</w:t>
      </w:r>
      <w:r>
        <w:t xml:space="preserve">, vol. 16, no. 24, 2024. doi: 10.3390/su162411243.</w:t>
      </w:r>
    </w:p>
    <w:p>
      <w:pPr>
        <w:ind w:left="720" w:hanging="720"/>
        <w:spacing w:after="160" w:line="276" w:lineRule="auto"/>
      </w:pPr>
      <w:r>
        <w:t xml:space="preserve">[8] </w:t>
      </w:r>
      <w:r>
        <w:t xml:space="preserve">A. A. M. Abubakr, Z. M. Roustom, and A. A. A. M. Abubakr, “The Impact of the Use of Artificial Intelligence Applications on the Preparation of Scientific Research in the Field of Accounting at Universities,” </w:t>
      </w:r>
      <w:r>
        <w:rPr>
          <w:i/>
        </w:rPr>
        <w:t xml:space="preserve">Studies in Big Data</w:t>
      </w:r>
      <w:r>
        <w:t xml:space="preserve">, vol. 159, pp. 3–15, 2024. doi: 10.1007/978-3-031-71213-5_1.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