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Ashraf Awad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Awad, A. Mousa, E. Abdelaziz, and A. Attia, “Assessing the Future of HRM: Exploring the Transformative Role of Artificial Intelligence in Realizing the UAE's Vision 2031 for AI-Driven Human Resources Practices,” </w:t>
      </w:r>
      <w:r>
        <w:rPr>
          <w:i/>
        </w:rPr>
        <w:t xml:space="preserve">Qubahan Academic Journal</w:t>
      </w:r>
      <w:r>
        <w:t xml:space="preserve">, vol. 5, no. 4, pp. 84–102, 2025. doi: 10.48161/qaj.v5n4a1968.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Awad, “The effect of human resources competencies on a firm's performance: A marketing perspective,” </w:t>
      </w:r>
      <w:r>
        <w:rPr>
          <w:i/>
        </w:rPr>
        <w:t xml:space="preserve">Proceedings of the European Conference on Knowledge Management, ECKM</w:t>
      </w:r>
      <w:r>
        <w:t xml:space="preserve">, vol. 1, pp. 47–54, 2017. doi: nan.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