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Ashraf Awad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2 publication(s)</w:t>
      </w:r>
    </w:p>
    <w:p>
      <w:pPr>
        <w:ind w:left="720" w:hanging="720"/>
        <w:spacing w:after="160" w:line="276" w:lineRule="auto"/>
      </w:pPr>
      <w:r>
        <w:t xml:space="preserve">Awad, Ashraf, Ahmad Mousa, Elsaid Abdelaziz, and Ahmed Attia. 2025. “Assessing the Future of HRM: Exploring the Transformative Role of Artificial Intelligence in Realizing the UAE's Vision 2031 for AI-Driven Human Resources Practices.” </w:t>
      </w:r>
      <w:r>
        <w:rPr>
          <w:i/>
        </w:rPr>
        <w:t xml:space="preserve">Qubahan Academic Journal</w:t>
      </w:r>
      <w:r>
        <w:t xml:space="preserve"> 5 (4): 84–102. https://doi.org/10.48161/qaj.v5n4a1968.</w:t>
      </w:r>
    </w:p>
    <w:p>
      <w:pPr>
        <w:ind w:left="720" w:hanging="720"/>
        <w:spacing w:after="160" w:line="276" w:lineRule="auto"/>
      </w:pPr>
      <w:r>
        <w:t xml:space="preserve">Awad, Ashraf. 2017. “The effect of human resources competencies on a firm's performance: A marketing perspective.” </w:t>
      </w:r>
      <w:r>
        <w:rPr>
          <w:i/>
        </w:rPr>
        <w:t xml:space="preserve">Proceedings of the European Conference on Knowledge Management, ECKM</w:t>
      </w:r>
      <w:r>
        <w:t xml:space="preserve"> 1: 47–54. https://doi.org/nan.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